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5F9" w:rsidRPr="00A931B5" w:rsidRDefault="00E475F9" w:rsidP="00E475F9">
      <w:pPr>
        <w:spacing w:after="0"/>
        <w:jc w:val="both"/>
        <w:rPr>
          <w:rFonts w:cstheme="minorHAnsi"/>
          <w:sz w:val="24"/>
          <w:szCs w:val="24"/>
        </w:rPr>
      </w:pPr>
      <w:r w:rsidRPr="00A931B5">
        <w:rPr>
          <w:rFonts w:cstheme="minorHAnsi"/>
          <w:sz w:val="24"/>
          <w:szCs w:val="24"/>
        </w:rPr>
        <w:t xml:space="preserve">ATENÇÃO: </w:t>
      </w:r>
    </w:p>
    <w:p w:rsidR="00E475F9" w:rsidRPr="00A931B5" w:rsidRDefault="00E475F9" w:rsidP="00E475F9">
      <w:pPr>
        <w:spacing w:after="0" w:line="147" w:lineRule="atLeast"/>
        <w:jc w:val="both"/>
        <w:rPr>
          <w:rFonts w:eastAsia="Times New Roman" w:cstheme="minorHAnsi"/>
          <w:sz w:val="24"/>
          <w:szCs w:val="24"/>
          <w:lang w:eastAsia="pt-BR"/>
        </w:rPr>
      </w:pPr>
      <w:r w:rsidRPr="00A931B5">
        <w:rPr>
          <w:rFonts w:cstheme="minorHAnsi"/>
          <w:sz w:val="24"/>
          <w:szCs w:val="24"/>
        </w:rPr>
        <w:t>Independente do ato que a parte pretende que seja praticado, em atenção ao princípio da especialidade subjetiva, s</w:t>
      </w:r>
      <w:r w:rsidRPr="00A931B5">
        <w:rPr>
          <w:rFonts w:eastAsia="Times New Roman" w:cstheme="minorHAnsi"/>
          <w:sz w:val="24"/>
          <w:szCs w:val="24"/>
          <w:lang w:eastAsia="pt-BR"/>
        </w:rPr>
        <w:t xml:space="preserve">e na matrícula do imóvel os proprietários não estiverem qualificados corretamente, previamente deverá ser averbada a qualificação. Para isso será necessária </w:t>
      </w:r>
      <w:proofErr w:type="gramStart"/>
      <w:r w:rsidRPr="00A931B5">
        <w:rPr>
          <w:rFonts w:eastAsia="Times New Roman" w:cstheme="minorHAnsi"/>
          <w:sz w:val="24"/>
          <w:szCs w:val="24"/>
          <w:lang w:eastAsia="pt-BR"/>
        </w:rPr>
        <w:t>a</w:t>
      </w:r>
      <w:proofErr w:type="gramEnd"/>
      <w:r w:rsidRPr="00A931B5">
        <w:rPr>
          <w:rFonts w:eastAsia="Times New Roman" w:cstheme="minorHAnsi"/>
          <w:sz w:val="24"/>
          <w:szCs w:val="24"/>
          <w:lang w:eastAsia="pt-BR"/>
        </w:rPr>
        <w:t xml:space="preserve"> apresentação da cópia autenticada do CPF, RG, declaração de profissão e endereço, acompanhado da certidão de nascimento/casamento, além de requerimento com firma reconhecida.</w:t>
      </w:r>
    </w:p>
    <w:p w:rsidR="00E475F9" w:rsidRPr="00A931B5" w:rsidRDefault="00E475F9" w:rsidP="00E475F9">
      <w:pPr>
        <w:spacing w:after="0" w:line="147" w:lineRule="atLeast"/>
        <w:jc w:val="both"/>
        <w:outlineLvl w:val="2"/>
        <w:rPr>
          <w:rFonts w:cstheme="minorHAnsi"/>
        </w:rPr>
      </w:pPr>
    </w:p>
    <w:p w:rsidR="00E475F9" w:rsidRDefault="00E475F9" w:rsidP="00E475F9">
      <w:pPr>
        <w:spacing w:after="0" w:line="147" w:lineRule="atLeast"/>
        <w:jc w:val="both"/>
        <w:outlineLvl w:val="2"/>
      </w:pPr>
    </w:p>
    <w:p w:rsidR="00E475F9" w:rsidRDefault="00E475F9" w:rsidP="00E475F9">
      <w:pPr>
        <w:spacing w:after="0" w:line="147" w:lineRule="atLeast"/>
        <w:jc w:val="both"/>
        <w:outlineLvl w:val="2"/>
      </w:pPr>
    </w:p>
    <w:p w:rsidR="00E475F9" w:rsidRDefault="00E475F9" w:rsidP="00E475F9">
      <w:pPr>
        <w:spacing w:after="0" w:line="147" w:lineRule="atLeast"/>
        <w:jc w:val="both"/>
        <w:outlineLvl w:val="2"/>
      </w:pPr>
    </w:p>
    <w:p w:rsidR="00E475F9" w:rsidRPr="00A931B5" w:rsidRDefault="00E475F9" w:rsidP="00E475F9">
      <w:pPr>
        <w:spacing w:after="0" w:line="147" w:lineRule="atLeast"/>
        <w:jc w:val="both"/>
        <w:outlineLvl w:val="2"/>
        <w:rPr>
          <w:rFonts w:eastAsia="Times New Roman" w:cstheme="minorHAnsi"/>
          <w:b/>
          <w:bCs/>
          <w:sz w:val="24"/>
          <w:szCs w:val="24"/>
          <w:lang w:eastAsia="pt-BR"/>
        </w:rPr>
      </w:pPr>
      <w:hyperlink r:id="rId4" w:history="1">
        <w:r w:rsidRPr="00A931B5">
          <w:rPr>
            <w:rFonts w:eastAsia="Times New Roman" w:cstheme="minorHAnsi"/>
            <w:b/>
            <w:bCs/>
            <w:sz w:val="24"/>
            <w:szCs w:val="24"/>
            <w:lang w:eastAsia="pt-BR"/>
          </w:rPr>
          <w:t>FORMAL DE PARTILHA EM SEPARAÇÃO OU DIVÓRCIO</w:t>
        </w:r>
      </w:hyperlink>
      <w:r w:rsidRPr="00A931B5">
        <w:rPr>
          <w:rFonts w:cstheme="minorHAnsi"/>
        </w:rPr>
        <w:t xml:space="preserve"> (JUDICIAL)</w:t>
      </w:r>
    </w:p>
    <w:p w:rsidR="00E475F9" w:rsidRPr="00A931B5" w:rsidRDefault="00E475F9" w:rsidP="00E475F9">
      <w:pPr>
        <w:spacing w:after="0" w:line="147" w:lineRule="atLeast"/>
        <w:jc w:val="both"/>
        <w:rPr>
          <w:rFonts w:eastAsia="Times New Roman" w:cstheme="minorHAnsi"/>
          <w:sz w:val="24"/>
          <w:szCs w:val="24"/>
          <w:lang w:eastAsia="pt-BR"/>
        </w:rPr>
      </w:pPr>
      <w:r w:rsidRPr="00A931B5">
        <w:rPr>
          <w:rFonts w:eastAsia="Times New Roman" w:cstheme="minorHAnsi"/>
          <w:sz w:val="24"/>
          <w:szCs w:val="24"/>
          <w:lang w:eastAsia="pt-BR"/>
        </w:rPr>
        <w:t>1 – Formal de Partilha original, expedido pela Secretaria da Vara ou Carta de Sentença, acompanhado da sentença com trânsito em julgado;</w:t>
      </w:r>
    </w:p>
    <w:p w:rsidR="00E475F9" w:rsidRPr="00A931B5" w:rsidRDefault="00E475F9" w:rsidP="00E475F9">
      <w:pPr>
        <w:spacing w:after="0" w:line="147" w:lineRule="atLeast"/>
        <w:jc w:val="both"/>
        <w:rPr>
          <w:rFonts w:eastAsia="Times New Roman" w:cstheme="minorHAnsi"/>
          <w:sz w:val="24"/>
          <w:szCs w:val="24"/>
          <w:lang w:eastAsia="pt-BR"/>
        </w:rPr>
      </w:pPr>
      <w:r w:rsidRPr="00A931B5">
        <w:rPr>
          <w:rFonts w:eastAsia="Times New Roman" w:cstheme="minorHAnsi"/>
          <w:sz w:val="24"/>
          <w:szCs w:val="24"/>
          <w:lang w:eastAsia="pt-BR"/>
        </w:rPr>
        <w:t xml:space="preserve">2 - Certidão de casamento atualizada com a averbação do divórcio ou cópia autenticada, expedida, há, no máximo </w:t>
      </w:r>
      <w:proofErr w:type="gramStart"/>
      <w:r w:rsidRPr="00A931B5">
        <w:rPr>
          <w:rFonts w:eastAsia="Times New Roman" w:cstheme="minorHAnsi"/>
          <w:sz w:val="24"/>
          <w:szCs w:val="24"/>
          <w:lang w:eastAsia="pt-BR"/>
        </w:rPr>
        <w:t>90 dia</w:t>
      </w:r>
      <w:proofErr w:type="gramEnd"/>
      <w:r w:rsidRPr="00A931B5">
        <w:rPr>
          <w:rFonts w:eastAsia="Times New Roman" w:cstheme="minorHAnsi"/>
          <w:sz w:val="24"/>
          <w:szCs w:val="24"/>
          <w:lang w:eastAsia="pt-BR"/>
        </w:rPr>
        <w:t xml:space="preserve"> antes da abertura do protocolo (art. 769, Provimento 260/CGJ/2013 – Código de Normas);</w:t>
      </w:r>
    </w:p>
    <w:p w:rsidR="00E475F9" w:rsidRPr="00A931B5" w:rsidRDefault="00E475F9" w:rsidP="00E475F9">
      <w:pPr>
        <w:spacing w:after="0" w:line="147" w:lineRule="atLeast"/>
        <w:jc w:val="both"/>
        <w:rPr>
          <w:rFonts w:eastAsia="Times New Roman" w:cstheme="minorHAnsi"/>
          <w:sz w:val="24"/>
          <w:szCs w:val="24"/>
          <w:lang w:eastAsia="pt-BR"/>
        </w:rPr>
      </w:pPr>
      <w:r w:rsidRPr="00A931B5">
        <w:rPr>
          <w:rFonts w:eastAsia="Times New Roman" w:cstheme="minorHAnsi"/>
          <w:sz w:val="24"/>
          <w:szCs w:val="24"/>
          <w:lang w:eastAsia="pt-BR"/>
        </w:rPr>
        <w:t>3 - Declaração de Pagamento/Desoneração de ITCD por excedente de meação, acompanhado da</w:t>
      </w:r>
      <w:proofErr w:type="gramStart"/>
      <w:r w:rsidRPr="00A931B5">
        <w:rPr>
          <w:rFonts w:eastAsia="Times New Roman" w:cstheme="minorHAnsi"/>
          <w:sz w:val="24"/>
          <w:szCs w:val="24"/>
          <w:lang w:eastAsia="pt-BR"/>
        </w:rPr>
        <w:t xml:space="preserve">  </w:t>
      </w:r>
      <w:proofErr w:type="gramEnd"/>
      <w:r w:rsidRPr="00A931B5">
        <w:rPr>
          <w:rFonts w:eastAsia="Times New Roman" w:cstheme="minorHAnsi"/>
          <w:sz w:val="24"/>
          <w:szCs w:val="24"/>
          <w:lang w:eastAsia="pt-BR"/>
        </w:rPr>
        <w:t>avaliação feita pela SEF/MG;</w:t>
      </w:r>
    </w:p>
    <w:p w:rsidR="00E475F9" w:rsidRPr="00A931B5" w:rsidRDefault="00E475F9" w:rsidP="00E475F9">
      <w:pPr>
        <w:spacing w:after="0" w:line="147" w:lineRule="atLeast"/>
        <w:jc w:val="both"/>
        <w:rPr>
          <w:rFonts w:eastAsia="Times New Roman" w:cstheme="minorHAnsi"/>
          <w:i/>
          <w:sz w:val="20"/>
          <w:szCs w:val="20"/>
          <w:lang w:eastAsia="pt-BR"/>
        </w:rPr>
      </w:pPr>
      <w:r w:rsidRPr="00A931B5">
        <w:rPr>
          <w:rFonts w:eastAsia="Times New Roman" w:cstheme="minorHAnsi"/>
          <w:b/>
          <w:i/>
          <w:sz w:val="20"/>
          <w:szCs w:val="20"/>
          <w:lang w:eastAsia="pt-BR"/>
        </w:rPr>
        <w:t xml:space="preserve">OBS1: </w:t>
      </w:r>
      <w:r w:rsidRPr="00A931B5">
        <w:rPr>
          <w:rFonts w:eastAsia="Times New Roman" w:cstheme="minorHAnsi"/>
          <w:i/>
          <w:sz w:val="20"/>
          <w:szCs w:val="20"/>
          <w:lang w:eastAsia="pt-BR"/>
        </w:rPr>
        <w:t>Caso não tenha sido partilhado 50% para cada um, e se a cessão foi onerosa, apresentar guia do ITBI, devidamente quitada ou certidão de isenção expedida pela Prefeitura Municipal de Brumadinho.</w:t>
      </w:r>
    </w:p>
    <w:p w:rsidR="00E475F9" w:rsidRPr="00A931B5" w:rsidRDefault="00E475F9" w:rsidP="00E475F9">
      <w:pPr>
        <w:spacing w:after="0" w:line="147" w:lineRule="atLeast"/>
        <w:jc w:val="both"/>
        <w:rPr>
          <w:rFonts w:eastAsia="Times New Roman" w:cstheme="minorHAnsi"/>
          <w:sz w:val="24"/>
          <w:szCs w:val="24"/>
          <w:lang w:eastAsia="pt-BR"/>
        </w:rPr>
      </w:pPr>
      <w:r w:rsidRPr="00A931B5">
        <w:rPr>
          <w:rFonts w:eastAsia="Times New Roman" w:cstheme="minorHAnsi"/>
          <w:sz w:val="24"/>
          <w:szCs w:val="24"/>
          <w:lang w:eastAsia="pt-BR"/>
        </w:rPr>
        <w:t>4 - Se imóvel rural,</w:t>
      </w:r>
      <w:proofErr w:type="gramStart"/>
      <w:r w:rsidRPr="00A931B5">
        <w:rPr>
          <w:rFonts w:eastAsia="Times New Roman" w:cstheme="minorHAnsi"/>
          <w:sz w:val="24"/>
          <w:szCs w:val="24"/>
          <w:lang w:eastAsia="pt-BR"/>
        </w:rPr>
        <w:t xml:space="preserve">  </w:t>
      </w:r>
      <w:proofErr w:type="gramEnd"/>
      <w:r w:rsidRPr="00A931B5">
        <w:rPr>
          <w:rFonts w:eastAsia="Times New Roman" w:cstheme="minorHAnsi"/>
          <w:sz w:val="24"/>
          <w:szCs w:val="24"/>
          <w:lang w:eastAsia="pt-BR"/>
        </w:rPr>
        <w:t>apresentar: CND do ITR, CCIR e comprovante de inscrição no CAR, caso já possua;</w:t>
      </w:r>
    </w:p>
    <w:p w:rsidR="00E475F9" w:rsidRPr="00A931B5" w:rsidRDefault="00E475F9" w:rsidP="00E475F9">
      <w:pPr>
        <w:spacing w:after="0" w:line="147" w:lineRule="atLeast"/>
        <w:jc w:val="both"/>
        <w:rPr>
          <w:rFonts w:eastAsia="Times New Roman" w:cstheme="minorHAnsi"/>
          <w:i/>
          <w:sz w:val="20"/>
          <w:szCs w:val="20"/>
          <w:lang w:eastAsia="pt-BR"/>
        </w:rPr>
      </w:pPr>
      <w:r w:rsidRPr="00A931B5">
        <w:rPr>
          <w:rFonts w:eastAsia="Times New Roman" w:cstheme="minorHAnsi"/>
          <w:b/>
          <w:i/>
          <w:sz w:val="20"/>
          <w:szCs w:val="20"/>
          <w:lang w:eastAsia="pt-BR"/>
        </w:rPr>
        <w:t>OBS2:</w:t>
      </w:r>
      <w:r w:rsidRPr="00A931B5">
        <w:rPr>
          <w:rFonts w:eastAsia="Times New Roman" w:cstheme="minorHAnsi"/>
          <w:i/>
          <w:sz w:val="20"/>
          <w:szCs w:val="20"/>
          <w:lang w:eastAsia="pt-BR"/>
        </w:rPr>
        <w:t xml:space="preserve"> O imóvel deve estar descrito no processo exatamente como consta na matrícula (descrição do terreno, área do terreno, existência de construção, área construída), caso esteja descrito de modo diverso na matrícula ou sem a construção mencionada no contrato, deverá ser apresentada a documentação referente à averbação da construção ou demolição para averbá-la previamente ao registro da partilha.</w:t>
      </w:r>
    </w:p>
    <w:p w:rsidR="00E475F9" w:rsidRPr="00A931B5" w:rsidRDefault="00E475F9" w:rsidP="00E475F9">
      <w:pPr>
        <w:spacing w:after="0" w:line="147" w:lineRule="atLeast"/>
        <w:jc w:val="both"/>
        <w:rPr>
          <w:rFonts w:eastAsia="Times New Roman" w:cstheme="minorHAnsi"/>
          <w:sz w:val="24"/>
          <w:szCs w:val="24"/>
          <w:lang w:eastAsia="pt-BR"/>
        </w:rPr>
      </w:pPr>
      <w:r w:rsidRPr="00A931B5">
        <w:rPr>
          <w:rFonts w:eastAsia="Times New Roman" w:cstheme="minorHAnsi"/>
          <w:b/>
          <w:bCs/>
          <w:i/>
          <w:sz w:val="20"/>
          <w:szCs w:val="20"/>
          <w:lang w:eastAsia="pt-BR"/>
        </w:rPr>
        <w:t>OBS3:</w:t>
      </w:r>
      <w:r w:rsidRPr="00A931B5">
        <w:rPr>
          <w:rFonts w:eastAsia="Times New Roman" w:cstheme="minorHAnsi"/>
          <w:i/>
          <w:sz w:val="20"/>
          <w:szCs w:val="20"/>
          <w:lang w:eastAsia="pt-BR"/>
        </w:rPr>
        <w:t> Todos os documentos advindos do processo deverão estar autenticados pela própria Vara na qual se deu a tramitação</w:t>
      </w:r>
      <w:r w:rsidRPr="00A931B5">
        <w:rPr>
          <w:rFonts w:eastAsia="Times New Roman" w:cstheme="minorHAnsi"/>
          <w:sz w:val="24"/>
          <w:szCs w:val="24"/>
          <w:lang w:eastAsia="pt-BR"/>
        </w:rPr>
        <w:t xml:space="preserve"> </w:t>
      </w:r>
    </w:p>
    <w:p w:rsidR="00E475F9" w:rsidRPr="00A931B5" w:rsidRDefault="00E475F9" w:rsidP="00E475F9">
      <w:pPr>
        <w:spacing w:after="0" w:line="147" w:lineRule="atLeast"/>
        <w:jc w:val="both"/>
        <w:rPr>
          <w:rFonts w:eastAsia="Times New Roman" w:cstheme="minorHAnsi"/>
          <w:sz w:val="24"/>
          <w:szCs w:val="24"/>
          <w:lang w:eastAsia="pt-BR"/>
        </w:rPr>
      </w:pPr>
    </w:p>
    <w:p w:rsidR="00E475F9" w:rsidRPr="00A931B5" w:rsidRDefault="00E475F9" w:rsidP="00E475F9">
      <w:pPr>
        <w:spacing w:after="0" w:line="147" w:lineRule="atLeast"/>
        <w:jc w:val="both"/>
        <w:outlineLvl w:val="2"/>
        <w:rPr>
          <w:rFonts w:eastAsia="Times New Roman" w:cstheme="minorHAnsi"/>
          <w:bCs/>
          <w:sz w:val="24"/>
          <w:szCs w:val="24"/>
          <w:lang w:eastAsia="pt-BR"/>
        </w:rPr>
      </w:pPr>
      <w:hyperlink r:id="rId5" w:history="1">
        <w:r w:rsidRPr="00A931B5">
          <w:rPr>
            <w:rFonts w:eastAsia="Times New Roman" w:cstheme="minorHAnsi"/>
            <w:b/>
            <w:bCs/>
            <w:sz w:val="24"/>
            <w:szCs w:val="24"/>
            <w:lang w:eastAsia="pt-BR"/>
          </w:rPr>
          <w:t>FORMAL DE PARTILHA</w:t>
        </w:r>
      </w:hyperlink>
      <w:r w:rsidRPr="00A931B5">
        <w:rPr>
          <w:rFonts w:cstheme="minorHAnsi"/>
        </w:rPr>
        <w:t xml:space="preserve"> </w:t>
      </w:r>
      <w:r w:rsidRPr="00A931B5">
        <w:rPr>
          <w:rFonts w:cstheme="minorHAnsi"/>
          <w:b/>
          <w:i/>
        </w:rPr>
        <w:t xml:space="preserve">CAUSA MORTIS </w:t>
      </w:r>
      <w:r w:rsidRPr="00A931B5">
        <w:rPr>
          <w:rFonts w:cstheme="minorHAnsi"/>
        </w:rPr>
        <w:t>(JUDICIAL)</w:t>
      </w:r>
    </w:p>
    <w:p w:rsidR="00E475F9" w:rsidRPr="00A931B5" w:rsidRDefault="00E475F9" w:rsidP="00E475F9">
      <w:pPr>
        <w:spacing w:after="0" w:line="147" w:lineRule="atLeast"/>
        <w:jc w:val="both"/>
        <w:rPr>
          <w:rFonts w:eastAsia="Times New Roman" w:cstheme="minorHAnsi"/>
          <w:sz w:val="24"/>
          <w:szCs w:val="24"/>
          <w:lang w:eastAsia="pt-BR"/>
        </w:rPr>
      </w:pPr>
      <w:r w:rsidRPr="00A931B5">
        <w:rPr>
          <w:rFonts w:eastAsia="Times New Roman" w:cstheme="minorHAnsi"/>
          <w:sz w:val="24"/>
          <w:szCs w:val="24"/>
          <w:lang w:eastAsia="pt-BR"/>
        </w:rPr>
        <w:t>1 - Formal de Partilha ou Carta de Adjudicação original, expedido pela Secretaria da Vara ou Carta de Sentença, acompanhado da sentença com trânsito em julgado;</w:t>
      </w:r>
    </w:p>
    <w:p w:rsidR="00E475F9" w:rsidRPr="00A931B5" w:rsidRDefault="00E475F9" w:rsidP="00E475F9">
      <w:pPr>
        <w:spacing w:after="0" w:line="147" w:lineRule="atLeast"/>
        <w:jc w:val="both"/>
        <w:rPr>
          <w:rFonts w:eastAsia="Times New Roman" w:cstheme="minorHAnsi"/>
          <w:sz w:val="24"/>
          <w:szCs w:val="24"/>
          <w:lang w:eastAsia="pt-BR"/>
        </w:rPr>
      </w:pPr>
      <w:r w:rsidRPr="00A931B5">
        <w:rPr>
          <w:rFonts w:eastAsia="Times New Roman" w:cstheme="minorHAnsi"/>
          <w:sz w:val="24"/>
          <w:szCs w:val="24"/>
          <w:lang w:eastAsia="pt-BR"/>
        </w:rPr>
        <w:t xml:space="preserve">2 - </w:t>
      </w:r>
      <w:proofErr w:type="gramStart"/>
      <w:r w:rsidRPr="00A931B5">
        <w:rPr>
          <w:rFonts w:eastAsia="Times New Roman" w:cstheme="minorHAnsi"/>
          <w:sz w:val="24"/>
          <w:szCs w:val="24"/>
          <w:lang w:eastAsia="pt-BR"/>
        </w:rPr>
        <w:t>Caso</w:t>
      </w:r>
      <w:proofErr w:type="gramEnd"/>
      <w:r w:rsidRPr="00A931B5">
        <w:rPr>
          <w:rFonts w:eastAsia="Times New Roman" w:cstheme="minorHAnsi"/>
          <w:sz w:val="24"/>
          <w:szCs w:val="24"/>
          <w:lang w:eastAsia="pt-BR"/>
        </w:rPr>
        <w:t xml:space="preserve"> os adquirentes (herdeiros e legatários) não estejam qualificados no título com nome completo, RG e CPF, favor apresentar cópia autenticada (RG, CPF, certidão de casamento, cópia autenticada do registro do pacto antenupcial ou escritura pública do pacto antenupcial, declaração de profissão e endereço completo);</w:t>
      </w:r>
    </w:p>
    <w:p w:rsidR="00E475F9" w:rsidRPr="00A931B5" w:rsidRDefault="00E475F9" w:rsidP="00E475F9">
      <w:pPr>
        <w:spacing w:after="0" w:line="147" w:lineRule="atLeast"/>
        <w:jc w:val="both"/>
        <w:rPr>
          <w:rFonts w:eastAsia="Times New Roman" w:cstheme="minorHAnsi"/>
          <w:sz w:val="24"/>
          <w:szCs w:val="24"/>
          <w:lang w:eastAsia="pt-BR"/>
        </w:rPr>
      </w:pPr>
      <w:r w:rsidRPr="00A931B5">
        <w:rPr>
          <w:rFonts w:eastAsia="Times New Roman" w:cstheme="minorHAnsi"/>
          <w:sz w:val="24"/>
          <w:szCs w:val="24"/>
          <w:lang w:eastAsia="pt-BR"/>
        </w:rPr>
        <w:t>3 - Se houve cessão de direitos hereditários, apresentar guia do ITBI recolhida, se onerosa, ou guia do ITCMD, se gratuita;</w:t>
      </w:r>
    </w:p>
    <w:p w:rsidR="00E475F9" w:rsidRPr="00A931B5" w:rsidRDefault="00E475F9" w:rsidP="00E475F9">
      <w:pPr>
        <w:spacing w:after="0" w:line="147" w:lineRule="atLeast"/>
        <w:jc w:val="both"/>
        <w:rPr>
          <w:rFonts w:eastAsia="Times New Roman" w:cstheme="minorHAnsi"/>
          <w:sz w:val="24"/>
          <w:szCs w:val="24"/>
          <w:lang w:eastAsia="pt-BR"/>
        </w:rPr>
      </w:pPr>
      <w:r w:rsidRPr="00A931B5">
        <w:rPr>
          <w:rFonts w:eastAsia="Times New Roman" w:cstheme="minorHAnsi"/>
          <w:sz w:val="24"/>
          <w:szCs w:val="24"/>
          <w:lang w:eastAsia="pt-BR"/>
        </w:rPr>
        <w:t xml:space="preserve">4 – Certidão de Quitação/Desoneração do ITCD </w:t>
      </w:r>
      <w:r w:rsidRPr="00A931B5">
        <w:rPr>
          <w:rFonts w:eastAsia="Times New Roman" w:cstheme="minorHAnsi"/>
          <w:i/>
          <w:sz w:val="24"/>
          <w:szCs w:val="24"/>
          <w:lang w:eastAsia="pt-BR"/>
        </w:rPr>
        <w:t xml:space="preserve">causa </w:t>
      </w:r>
      <w:proofErr w:type="spellStart"/>
      <w:r w:rsidRPr="00A931B5">
        <w:rPr>
          <w:rFonts w:eastAsia="Times New Roman" w:cstheme="minorHAnsi"/>
          <w:i/>
          <w:sz w:val="24"/>
          <w:szCs w:val="24"/>
          <w:lang w:eastAsia="pt-BR"/>
        </w:rPr>
        <w:t>mortis</w:t>
      </w:r>
      <w:proofErr w:type="spellEnd"/>
      <w:r w:rsidRPr="00A931B5">
        <w:rPr>
          <w:rFonts w:eastAsia="Times New Roman" w:cstheme="minorHAnsi"/>
          <w:sz w:val="24"/>
          <w:szCs w:val="24"/>
          <w:lang w:eastAsia="pt-BR"/>
        </w:rPr>
        <w:t>, acompanhada da avaliação dos bens pela SEF/MG;</w:t>
      </w:r>
    </w:p>
    <w:p w:rsidR="00E475F9" w:rsidRPr="00A931B5" w:rsidRDefault="00E475F9" w:rsidP="00E475F9">
      <w:pPr>
        <w:spacing w:after="0" w:line="147" w:lineRule="atLeast"/>
        <w:jc w:val="both"/>
        <w:rPr>
          <w:rFonts w:eastAsia="Times New Roman" w:cstheme="minorHAnsi"/>
          <w:sz w:val="24"/>
          <w:szCs w:val="24"/>
          <w:lang w:eastAsia="pt-BR"/>
        </w:rPr>
      </w:pPr>
      <w:r w:rsidRPr="00A931B5">
        <w:rPr>
          <w:rFonts w:eastAsia="Times New Roman" w:cstheme="minorHAnsi"/>
          <w:sz w:val="24"/>
          <w:szCs w:val="24"/>
          <w:lang w:eastAsia="pt-BR"/>
        </w:rPr>
        <w:t>5 – Se houver imóvel rural, apresentar CND do ITR e CCIR, bem assim cadastro no CAR, caso já possua.</w:t>
      </w:r>
    </w:p>
    <w:p w:rsidR="00E475F9" w:rsidRPr="00A931B5" w:rsidRDefault="00E475F9" w:rsidP="00E475F9">
      <w:pPr>
        <w:spacing w:after="0" w:line="147" w:lineRule="atLeast"/>
        <w:jc w:val="both"/>
        <w:rPr>
          <w:rFonts w:eastAsia="Times New Roman" w:cstheme="minorHAnsi"/>
          <w:sz w:val="24"/>
          <w:szCs w:val="24"/>
          <w:lang w:eastAsia="pt-BR"/>
        </w:rPr>
      </w:pPr>
      <w:r w:rsidRPr="00A931B5">
        <w:rPr>
          <w:rFonts w:eastAsia="Times New Roman" w:cstheme="minorHAnsi"/>
          <w:sz w:val="24"/>
          <w:szCs w:val="24"/>
          <w:lang w:eastAsia="pt-BR"/>
        </w:rPr>
        <w:t>6 – Se houver imóvel urbano, apresentar CND expedida pela Prefeitura Municipal de Brumadinho, contendo índice cadastral, logradouro, nº predial.</w:t>
      </w:r>
    </w:p>
    <w:p w:rsidR="00E475F9" w:rsidRPr="00A931B5" w:rsidRDefault="00E475F9" w:rsidP="00E475F9">
      <w:pPr>
        <w:spacing w:after="0" w:line="147" w:lineRule="atLeast"/>
        <w:jc w:val="both"/>
        <w:rPr>
          <w:rFonts w:eastAsia="Times New Roman" w:cstheme="minorHAnsi"/>
          <w:sz w:val="24"/>
          <w:szCs w:val="24"/>
          <w:lang w:eastAsia="pt-BR"/>
        </w:rPr>
      </w:pPr>
      <w:r w:rsidRPr="00A931B5">
        <w:rPr>
          <w:rFonts w:eastAsia="Times New Roman" w:cstheme="minorHAnsi"/>
          <w:sz w:val="24"/>
          <w:szCs w:val="24"/>
          <w:lang w:eastAsia="pt-BR"/>
        </w:rPr>
        <w:t>7 - Se na matrícula do imóvel os proprietários/transmitentes/</w:t>
      </w:r>
      <w:r w:rsidRPr="00A931B5">
        <w:rPr>
          <w:rFonts w:eastAsia="Times New Roman" w:cstheme="minorHAnsi"/>
          <w:i/>
          <w:sz w:val="24"/>
          <w:szCs w:val="24"/>
          <w:lang w:eastAsia="pt-BR"/>
        </w:rPr>
        <w:t xml:space="preserve">de </w:t>
      </w:r>
      <w:proofErr w:type="spellStart"/>
      <w:r w:rsidRPr="00A931B5">
        <w:rPr>
          <w:rFonts w:eastAsia="Times New Roman" w:cstheme="minorHAnsi"/>
          <w:i/>
          <w:sz w:val="24"/>
          <w:szCs w:val="24"/>
          <w:lang w:eastAsia="pt-BR"/>
        </w:rPr>
        <w:t>cujus</w:t>
      </w:r>
      <w:proofErr w:type="spellEnd"/>
      <w:r w:rsidRPr="00A931B5">
        <w:rPr>
          <w:rFonts w:eastAsia="Times New Roman" w:cstheme="minorHAnsi"/>
          <w:sz w:val="24"/>
          <w:szCs w:val="24"/>
          <w:lang w:eastAsia="pt-BR"/>
        </w:rPr>
        <w:t xml:space="preserve"> não estiverem qualificados corretamente, previamente à partilha deverá ser averbada a qualificação, </w:t>
      </w:r>
      <w:r w:rsidRPr="00A931B5">
        <w:rPr>
          <w:rFonts w:eastAsia="Times New Roman" w:cstheme="minorHAnsi"/>
          <w:sz w:val="24"/>
          <w:szCs w:val="24"/>
          <w:lang w:eastAsia="pt-BR"/>
        </w:rPr>
        <w:lastRenderedPageBreak/>
        <w:t>devendo apresentar cópia autenticada do CPF, RG, acompanhado da certidão de casamento, expedida há, no máximo 90 dias;</w:t>
      </w:r>
    </w:p>
    <w:p w:rsidR="00E475F9" w:rsidRPr="00A931B5" w:rsidRDefault="00E475F9" w:rsidP="00E475F9">
      <w:pPr>
        <w:spacing w:after="0" w:line="147" w:lineRule="atLeast"/>
        <w:jc w:val="both"/>
        <w:rPr>
          <w:rFonts w:eastAsia="Times New Roman" w:cstheme="minorHAnsi"/>
          <w:sz w:val="20"/>
          <w:szCs w:val="20"/>
          <w:lang w:eastAsia="pt-BR"/>
        </w:rPr>
      </w:pPr>
      <w:r w:rsidRPr="00A931B5">
        <w:rPr>
          <w:rFonts w:eastAsia="Times New Roman" w:cstheme="minorHAnsi"/>
          <w:b/>
          <w:i/>
          <w:sz w:val="20"/>
          <w:szCs w:val="20"/>
          <w:lang w:eastAsia="pt-BR"/>
        </w:rPr>
        <w:t xml:space="preserve">OBS1: </w:t>
      </w:r>
      <w:r w:rsidRPr="00A931B5">
        <w:rPr>
          <w:rFonts w:eastAsia="Times New Roman" w:cstheme="minorHAnsi"/>
          <w:sz w:val="20"/>
          <w:szCs w:val="20"/>
          <w:lang w:eastAsia="pt-BR"/>
        </w:rPr>
        <w:t xml:space="preserve">O imóvel deve estar descrito no processo exatamente como consta na matrícula (descrição do terreno, área do terreno, existência de construção, área construída), caso esteja descrito de modo diverso na matrícula ou sem a construção mencionada no contrato, deverá ser apresentada a documentação referente à averbação da construção ou demolição para averbá-la previamente ao registro da partilha, caso contrário será solicitado </w:t>
      </w:r>
      <w:proofErr w:type="gramStart"/>
      <w:r w:rsidRPr="00A931B5">
        <w:rPr>
          <w:rFonts w:eastAsia="Times New Roman" w:cstheme="minorHAnsi"/>
          <w:sz w:val="20"/>
          <w:szCs w:val="20"/>
          <w:lang w:eastAsia="pt-BR"/>
        </w:rPr>
        <w:t>a</w:t>
      </w:r>
      <w:proofErr w:type="gramEnd"/>
      <w:r w:rsidRPr="00A931B5">
        <w:rPr>
          <w:rFonts w:eastAsia="Times New Roman" w:cstheme="minorHAnsi"/>
          <w:sz w:val="20"/>
          <w:szCs w:val="20"/>
          <w:lang w:eastAsia="pt-BR"/>
        </w:rPr>
        <w:t xml:space="preserve"> retificação da partilha.</w:t>
      </w:r>
    </w:p>
    <w:p w:rsidR="00E475F9" w:rsidRPr="00A931B5" w:rsidRDefault="00E475F9" w:rsidP="00E475F9">
      <w:pPr>
        <w:autoSpaceDE w:val="0"/>
        <w:autoSpaceDN w:val="0"/>
        <w:adjustRightInd w:val="0"/>
        <w:spacing w:after="0" w:line="240" w:lineRule="auto"/>
        <w:jc w:val="both"/>
        <w:rPr>
          <w:rFonts w:cstheme="minorHAnsi"/>
          <w:color w:val="00000A"/>
          <w:sz w:val="20"/>
          <w:szCs w:val="20"/>
        </w:rPr>
      </w:pPr>
      <w:r w:rsidRPr="00A931B5">
        <w:rPr>
          <w:rFonts w:cstheme="minorHAnsi"/>
          <w:b/>
          <w:i/>
          <w:color w:val="000000"/>
          <w:sz w:val="20"/>
          <w:szCs w:val="20"/>
        </w:rPr>
        <w:t>OBS2</w:t>
      </w:r>
      <w:r w:rsidRPr="00A931B5">
        <w:rPr>
          <w:rFonts w:cstheme="minorHAnsi"/>
          <w:b/>
          <w:color w:val="000000"/>
          <w:sz w:val="20"/>
          <w:szCs w:val="20"/>
        </w:rPr>
        <w:t xml:space="preserve">: </w:t>
      </w:r>
      <w:r w:rsidRPr="00A931B5">
        <w:rPr>
          <w:rFonts w:cstheme="minorHAnsi"/>
          <w:color w:val="00000A"/>
          <w:sz w:val="20"/>
          <w:szCs w:val="20"/>
        </w:rPr>
        <w:t xml:space="preserve">Em atendimento ao princípio da continuidade, no caso de escritura ou formal de partilha conjuntivo (dois ou mais </w:t>
      </w:r>
      <w:r w:rsidRPr="00A931B5">
        <w:rPr>
          <w:rFonts w:cstheme="minorHAnsi"/>
          <w:i/>
          <w:color w:val="00000A"/>
          <w:sz w:val="20"/>
          <w:szCs w:val="20"/>
        </w:rPr>
        <w:t xml:space="preserve">de </w:t>
      </w:r>
      <w:proofErr w:type="spellStart"/>
      <w:r w:rsidRPr="00A931B5">
        <w:rPr>
          <w:rFonts w:cstheme="minorHAnsi"/>
          <w:i/>
          <w:color w:val="00000A"/>
          <w:sz w:val="20"/>
          <w:szCs w:val="20"/>
        </w:rPr>
        <w:t>cujus</w:t>
      </w:r>
      <w:proofErr w:type="spellEnd"/>
      <w:r w:rsidRPr="00A931B5">
        <w:rPr>
          <w:rFonts w:cstheme="minorHAnsi"/>
          <w:i/>
          <w:color w:val="00000A"/>
          <w:sz w:val="20"/>
          <w:szCs w:val="20"/>
        </w:rPr>
        <w:t>)</w:t>
      </w:r>
      <w:r w:rsidRPr="00A931B5">
        <w:rPr>
          <w:rFonts w:cstheme="minorHAnsi"/>
          <w:color w:val="00000A"/>
          <w:sz w:val="20"/>
          <w:szCs w:val="20"/>
        </w:rPr>
        <w:t xml:space="preserve"> decorrente de inventário, as partilhas serão registradas na sequência de sucessão de óbitos. As partilhas deverão necessariamente discriminar os pagamentos referentes a cada óbito, de forma separada, conforme expressa disposição no art. 775 e </w:t>
      </w:r>
      <w:proofErr w:type="gramStart"/>
      <w:r w:rsidRPr="00A931B5">
        <w:rPr>
          <w:rFonts w:cstheme="minorHAnsi"/>
          <w:color w:val="00000A"/>
          <w:sz w:val="20"/>
          <w:szCs w:val="20"/>
        </w:rPr>
        <w:t>§ 1º, do Código de Normas)</w:t>
      </w:r>
      <w:proofErr w:type="gramEnd"/>
      <w:r w:rsidRPr="00A931B5">
        <w:rPr>
          <w:rFonts w:cstheme="minorHAnsi"/>
          <w:color w:val="00000A"/>
          <w:sz w:val="20"/>
          <w:szCs w:val="20"/>
        </w:rPr>
        <w:t>.</w:t>
      </w:r>
    </w:p>
    <w:p w:rsidR="00E475F9" w:rsidRDefault="00E475F9" w:rsidP="00E475F9">
      <w:pPr>
        <w:autoSpaceDE w:val="0"/>
        <w:autoSpaceDN w:val="0"/>
        <w:adjustRightInd w:val="0"/>
        <w:spacing w:after="0" w:line="240" w:lineRule="auto"/>
        <w:jc w:val="both"/>
        <w:rPr>
          <w:rFonts w:cstheme="minorHAnsi"/>
          <w:color w:val="00000A"/>
          <w:sz w:val="20"/>
          <w:szCs w:val="20"/>
        </w:rPr>
      </w:pPr>
    </w:p>
    <w:p w:rsidR="00E475F9" w:rsidRDefault="00E475F9" w:rsidP="00E475F9">
      <w:pPr>
        <w:autoSpaceDE w:val="0"/>
        <w:autoSpaceDN w:val="0"/>
        <w:adjustRightInd w:val="0"/>
        <w:spacing w:after="0" w:line="240" w:lineRule="auto"/>
        <w:jc w:val="both"/>
        <w:rPr>
          <w:rFonts w:cstheme="minorHAnsi"/>
          <w:color w:val="00000A"/>
          <w:sz w:val="24"/>
          <w:szCs w:val="24"/>
        </w:rPr>
      </w:pPr>
      <w:r w:rsidRPr="0011711C">
        <w:rPr>
          <w:rFonts w:cstheme="minorHAnsi"/>
          <w:b/>
          <w:color w:val="00000A"/>
          <w:sz w:val="24"/>
          <w:szCs w:val="24"/>
        </w:rPr>
        <w:t>PARTILHA EXTRAJUDICIAL</w:t>
      </w:r>
      <w:r>
        <w:rPr>
          <w:rFonts w:cstheme="minorHAnsi"/>
          <w:b/>
          <w:color w:val="00000A"/>
          <w:sz w:val="24"/>
          <w:szCs w:val="24"/>
        </w:rPr>
        <w:t xml:space="preserve"> POR ESCRITURA PÚBLICA</w:t>
      </w:r>
    </w:p>
    <w:p w:rsidR="00E475F9" w:rsidRDefault="00E475F9" w:rsidP="00E475F9">
      <w:pPr>
        <w:autoSpaceDE w:val="0"/>
        <w:autoSpaceDN w:val="0"/>
        <w:adjustRightInd w:val="0"/>
        <w:spacing w:after="0" w:line="240" w:lineRule="auto"/>
        <w:jc w:val="both"/>
        <w:rPr>
          <w:rFonts w:cstheme="minorHAnsi"/>
          <w:color w:val="00000A"/>
          <w:sz w:val="24"/>
          <w:szCs w:val="24"/>
        </w:rPr>
      </w:pPr>
      <w:r>
        <w:rPr>
          <w:rFonts w:cstheme="minorHAnsi"/>
          <w:color w:val="00000A"/>
          <w:sz w:val="24"/>
          <w:szCs w:val="24"/>
        </w:rPr>
        <w:t>1 – Escritura Pública original;</w:t>
      </w:r>
    </w:p>
    <w:p w:rsidR="00E475F9" w:rsidRDefault="00E475F9" w:rsidP="00E475F9">
      <w:pPr>
        <w:autoSpaceDE w:val="0"/>
        <w:autoSpaceDN w:val="0"/>
        <w:adjustRightInd w:val="0"/>
        <w:spacing w:after="0" w:line="240" w:lineRule="auto"/>
        <w:jc w:val="both"/>
        <w:rPr>
          <w:rFonts w:cstheme="minorHAnsi"/>
          <w:color w:val="00000A"/>
          <w:sz w:val="24"/>
          <w:szCs w:val="24"/>
        </w:rPr>
      </w:pPr>
      <w:r>
        <w:rPr>
          <w:rFonts w:cstheme="minorHAnsi"/>
          <w:color w:val="00000A"/>
          <w:sz w:val="24"/>
          <w:szCs w:val="24"/>
        </w:rPr>
        <w:t xml:space="preserve">2 – Se </w:t>
      </w:r>
      <w:r>
        <w:rPr>
          <w:rFonts w:cstheme="minorHAnsi"/>
          <w:i/>
          <w:color w:val="00000A"/>
          <w:sz w:val="24"/>
          <w:szCs w:val="24"/>
        </w:rPr>
        <w:t xml:space="preserve">causa </w:t>
      </w:r>
      <w:proofErr w:type="spellStart"/>
      <w:r>
        <w:rPr>
          <w:rFonts w:cstheme="minorHAnsi"/>
          <w:i/>
          <w:color w:val="00000A"/>
          <w:sz w:val="24"/>
          <w:szCs w:val="24"/>
        </w:rPr>
        <w:t>mortis</w:t>
      </w:r>
      <w:proofErr w:type="spellEnd"/>
      <w:r>
        <w:rPr>
          <w:rFonts w:cstheme="minorHAnsi"/>
          <w:color w:val="00000A"/>
          <w:sz w:val="24"/>
          <w:szCs w:val="24"/>
        </w:rPr>
        <w:t>, certidão de óbito expedida há, no máximo, 90 dias;</w:t>
      </w:r>
    </w:p>
    <w:p w:rsidR="00E475F9" w:rsidRDefault="00E475F9" w:rsidP="00E475F9">
      <w:pPr>
        <w:autoSpaceDE w:val="0"/>
        <w:autoSpaceDN w:val="0"/>
        <w:adjustRightInd w:val="0"/>
        <w:spacing w:after="0" w:line="240" w:lineRule="auto"/>
        <w:jc w:val="both"/>
        <w:rPr>
          <w:rFonts w:cstheme="minorHAnsi"/>
          <w:color w:val="00000A"/>
          <w:sz w:val="24"/>
          <w:szCs w:val="24"/>
        </w:rPr>
      </w:pPr>
      <w:r>
        <w:rPr>
          <w:rFonts w:cstheme="minorHAnsi"/>
          <w:color w:val="00000A"/>
          <w:sz w:val="24"/>
          <w:szCs w:val="24"/>
        </w:rPr>
        <w:t>3 – Se em razão de separação/divórcio, certidão de casamento expedida há, no máximo, 90 dias;</w:t>
      </w:r>
    </w:p>
    <w:p w:rsidR="00E475F9" w:rsidRDefault="00E475F9" w:rsidP="00E475F9">
      <w:pPr>
        <w:autoSpaceDE w:val="0"/>
        <w:autoSpaceDN w:val="0"/>
        <w:adjustRightInd w:val="0"/>
        <w:spacing w:after="0" w:line="240" w:lineRule="auto"/>
        <w:jc w:val="both"/>
        <w:rPr>
          <w:rFonts w:eastAsia="Times New Roman" w:cstheme="minorHAnsi"/>
          <w:sz w:val="24"/>
          <w:szCs w:val="24"/>
          <w:lang w:eastAsia="pt-BR"/>
        </w:rPr>
      </w:pPr>
      <w:r>
        <w:rPr>
          <w:rFonts w:cstheme="minorHAnsi"/>
          <w:color w:val="00000A"/>
          <w:sz w:val="24"/>
          <w:szCs w:val="24"/>
        </w:rPr>
        <w:t xml:space="preserve">4 - </w:t>
      </w:r>
      <w:r w:rsidRPr="00A931B5">
        <w:rPr>
          <w:rFonts w:eastAsia="Times New Roman" w:cstheme="minorHAnsi"/>
          <w:sz w:val="24"/>
          <w:szCs w:val="24"/>
          <w:lang w:eastAsia="pt-BR"/>
        </w:rPr>
        <w:t>Se na matrícula do imóvel os proprietários/transmitentes/</w:t>
      </w:r>
      <w:r w:rsidRPr="00A931B5">
        <w:rPr>
          <w:rFonts w:eastAsia="Times New Roman" w:cstheme="minorHAnsi"/>
          <w:i/>
          <w:sz w:val="24"/>
          <w:szCs w:val="24"/>
          <w:lang w:eastAsia="pt-BR"/>
        </w:rPr>
        <w:t xml:space="preserve">de </w:t>
      </w:r>
      <w:proofErr w:type="spellStart"/>
      <w:r w:rsidRPr="00A931B5">
        <w:rPr>
          <w:rFonts w:eastAsia="Times New Roman" w:cstheme="minorHAnsi"/>
          <w:i/>
          <w:sz w:val="24"/>
          <w:szCs w:val="24"/>
          <w:lang w:eastAsia="pt-BR"/>
        </w:rPr>
        <w:t>cujus</w:t>
      </w:r>
      <w:proofErr w:type="spellEnd"/>
      <w:r w:rsidRPr="00A931B5">
        <w:rPr>
          <w:rFonts w:eastAsia="Times New Roman" w:cstheme="minorHAnsi"/>
          <w:sz w:val="24"/>
          <w:szCs w:val="24"/>
          <w:lang w:eastAsia="pt-BR"/>
        </w:rPr>
        <w:t xml:space="preserve"> não estiverem qualificados corretamente, previamente à partilha deverá ser averbada a qualificação, devendo apresentar cópia autenticada do CPF, RG, acompanhado da certidão de casamento, expedida há, no máximo 90 dias</w:t>
      </w:r>
      <w:r>
        <w:rPr>
          <w:rFonts w:eastAsia="Times New Roman" w:cstheme="minorHAnsi"/>
          <w:sz w:val="24"/>
          <w:szCs w:val="24"/>
          <w:lang w:eastAsia="pt-BR"/>
        </w:rPr>
        <w:t>;</w:t>
      </w:r>
    </w:p>
    <w:p w:rsidR="00E475F9" w:rsidRPr="00A931B5" w:rsidRDefault="00E475F9" w:rsidP="00E475F9">
      <w:pPr>
        <w:spacing w:after="0" w:line="147" w:lineRule="atLeast"/>
        <w:jc w:val="both"/>
        <w:rPr>
          <w:rFonts w:eastAsia="Times New Roman" w:cstheme="minorHAnsi"/>
          <w:sz w:val="24"/>
          <w:szCs w:val="24"/>
          <w:lang w:eastAsia="pt-BR"/>
        </w:rPr>
      </w:pPr>
      <w:r>
        <w:rPr>
          <w:rFonts w:eastAsia="Times New Roman" w:cstheme="minorHAnsi"/>
          <w:sz w:val="24"/>
          <w:szCs w:val="24"/>
          <w:lang w:eastAsia="pt-BR"/>
        </w:rPr>
        <w:t>5</w:t>
      </w:r>
      <w:r w:rsidRPr="00A931B5">
        <w:rPr>
          <w:rFonts w:eastAsia="Times New Roman" w:cstheme="minorHAnsi"/>
          <w:sz w:val="24"/>
          <w:szCs w:val="24"/>
          <w:lang w:eastAsia="pt-BR"/>
        </w:rPr>
        <w:t xml:space="preserve"> - Se houve cessão de direitos hereditários, apresentar guia do ITBI recolhida, se onerosa</w:t>
      </w:r>
      <w:r>
        <w:rPr>
          <w:rFonts w:eastAsia="Times New Roman" w:cstheme="minorHAnsi"/>
          <w:sz w:val="24"/>
          <w:szCs w:val="24"/>
          <w:lang w:eastAsia="pt-BR"/>
        </w:rPr>
        <w:t>, ou guia do ITCMD, se gratuita, se estes dados não constarem da Escritura;</w:t>
      </w:r>
    </w:p>
    <w:p w:rsidR="00E475F9" w:rsidRPr="00A931B5" w:rsidRDefault="00E475F9" w:rsidP="00E475F9">
      <w:pPr>
        <w:spacing w:after="0" w:line="147" w:lineRule="atLeast"/>
        <w:jc w:val="both"/>
        <w:rPr>
          <w:rFonts w:eastAsia="Times New Roman" w:cstheme="minorHAnsi"/>
          <w:sz w:val="24"/>
          <w:szCs w:val="24"/>
          <w:lang w:eastAsia="pt-BR"/>
        </w:rPr>
      </w:pPr>
      <w:r>
        <w:rPr>
          <w:rFonts w:eastAsia="Times New Roman" w:cstheme="minorHAnsi"/>
          <w:sz w:val="24"/>
          <w:szCs w:val="24"/>
          <w:lang w:eastAsia="pt-BR"/>
        </w:rPr>
        <w:t>6</w:t>
      </w:r>
      <w:r w:rsidRPr="00A931B5">
        <w:rPr>
          <w:rFonts w:eastAsia="Times New Roman" w:cstheme="minorHAnsi"/>
          <w:sz w:val="24"/>
          <w:szCs w:val="24"/>
          <w:lang w:eastAsia="pt-BR"/>
        </w:rPr>
        <w:t xml:space="preserve"> – Certidão de Quitação/Desoneração do ITCD </w:t>
      </w:r>
      <w:r w:rsidRPr="00A931B5">
        <w:rPr>
          <w:rFonts w:eastAsia="Times New Roman" w:cstheme="minorHAnsi"/>
          <w:i/>
          <w:sz w:val="24"/>
          <w:szCs w:val="24"/>
          <w:lang w:eastAsia="pt-BR"/>
        </w:rPr>
        <w:t xml:space="preserve">causa </w:t>
      </w:r>
      <w:proofErr w:type="spellStart"/>
      <w:r w:rsidRPr="00A931B5">
        <w:rPr>
          <w:rFonts w:eastAsia="Times New Roman" w:cstheme="minorHAnsi"/>
          <w:i/>
          <w:sz w:val="24"/>
          <w:szCs w:val="24"/>
          <w:lang w:eastAsia="pt-BR"/>
        </w:rPr>
        <w:t>mortis</w:t>
      </w:r>
      <w:proofErr w:type="spellEnd"/>
      <w:r w:rsidRPr="00A931B5">
        <w:rPr>
          <w:rFonts w:eastAsia="Times New Roman" w:cstheme="minorHAnsi"/>
          <w:sz w:val="24"/>
          <w:szCs w:val="24"/>
          <w:lang w:eastAsia="pt-BR"/>
        </w:rPr>
        <w:t>, acompanhada da avaliação dos b</w:t>
      </w:r>
      <w:r>
        <w:rPr>
          <w:rFonts w:eastAsia="Times New Roman" w:cstheme="minorHAnsi"/>
          <w:sz w:val="24"/>
          <w:szCs w:val="24"/>
          <w:lang w:eastAsia="pt-BR"/>
        </w:rPr>
        <w:t>ens pela SEF/MG, caso estes dados não constem da Escritura;</w:t>
      </w:r>
    </w:p>
    <w:p w:rsidR="00E475F9" w:rsidRPr="00A931B5" w:rsidRDefault="00E475F9" w:rsidP="00E475F9">
      <w:pPr>
        <w:spacing w:after="0" w:line="147" w:lineRule="atLeast"/>
        <w:jc w:val="both"/>
        <w:rPr>
          <w:rFonts w:eastAsia="Times New Roman" w:cstheme="minorHAnsi"/>
          <w:sz w:val="24"/>
          <w:szCs w:val="24"/>
          <w:lang w:eastAsia="pt-BR"/>
        </w:rPr>
      </w:pPr>
      <w:r>
        <w:rPr>
          <w:rFonts w:eastAsia="Times New Roman" w:cstheme="minorHAnsi"/>
          <w:sz w:val="24"/>
          <w:szCs w:val="24"/>
          <w:lang w:eastAsia="pt-BR"/>
        </w:rPr>
        <w:t>7</w:t>
      </w:r>
      <w:r w:rsidRPr="00A931B5">
        <w:rPr>
          <w:rFonts w:eastAsia="Times New Roman" w:cstheme="minorHAnsi"/>
          <w:sz w:val="24"/>
          <w:szCs w:val="24"/>
          <w:lang w:eastAsia="pt-BR"/>
        </w:rPr>
        <w:t xml:space="preserve"> – Se houver imóvel rural, apresentar CND do ITR e CCIR, bem assim </w:t>
      </w:r>
      <w:r>
        <w:rPr>
          <w:rFonts w:eastAsia="Times New Roman" w:cstheme="minorHAnsi"/>
          <w:sz w:val="24"/>
          <w:szCs w:val="24"/>
          <w:lang w:eastAsia="pt-BR"/>
        </w:rPr>
        <w:t>cadastro no CAR, caso já possua, se estes dados não constarem da Escritura;</w:t>
      </w:r>
    </w:p>
    <w:p w:rsidR="00E475F9" w:rsidRPr="00A931B5" w:rsidRDefault="00E475F9" w:rsidP="00E475F9">
      <w:pPr>
        <w:spacing w:after="0" w:line="147" w:lineRule="atLeast"/>
        <w:jc w:val="both"/>
        <w:rPr>
          <w:rFonts w:eastAsia="Times New Roman" w:cstheme="minorHAnsi"/>
          <w:sz w:val="24"/>
          <w:szCs w:val="24"/>
          <w:lang w:eastAsia="pt-BR"/>
        </w:rPr>
      </w:pPr>
      <w:r>
        <w:rPr>
          <w:rFonts w:eastAsia="Times New Roman" w:cstheme="minorHAnsi"/>
          <w:sz w:val="24"/>
          <w:szCs w:val="24"/>
          <w:lang w:eastAsia="pt-BR"/>
        </w:rPr>
        <w:t>8</w:t>
      </w:r>
      <w:r w:rsidRPr="00A931B5">
        <w:rPr>
          <w:rFonts w:eastAsia="Times New Roman" w:cstheme="minorHAnsi"/>
          <w:sz w:val="24"/>
          <w:szCs w:val="24"/>
          <w:lang w:eastAsia="pt-BR"/>
        </w:rPr>
        <w:t xml:space="preserve"> – Se houver imóvel urbano, apresentar CND expedida pela Prefeitura Municipal de Brumadinho, contendo índice cadastral, logradouro, nº predial.</w:t>
      </w:r>
    </w:p>
    <w:p w:rsidR="00E475F9" w:rsidRPr="00A931B5" w:rsidRDefault="00E475F9" w:rsidP="00E475F9">
      <w:pPr>
        <w:spacing w:after="0" w:line="147" w:lineRule="atLeast"/>
        <w:jc w:val="both"/>
        <w:rPr>
          <w:rFonts w:eastAsia="Times New Roman" w:cstheme="minorHAnsi"/>
          <w:sz w:val="20"/>
          <w:szCs w:val="20"/>
          <w:lang w:eastAsia="pt-BR"/>
        </w:rPr>
      </w:pPr>
      <w:r w:rsidRPr="00A931B5">
        <w:rPr>
          <w:rFonts w:eastAsia="Times New Roman" w:cstheme="minorHAnsi"/>
          <w:b/>
          <w:i/>
          <w:sz w:val="20"/>
          <w:szCs w:val="20"/>
          <w:lang w:eastAsia="pt-BR"/>
        </w:rPr>
        <w:t xml:space="preserve">OBS1: </w:t>
      </w:r>
      <w:r w:rsidRPr="00A931B5">
        <w:rPr>
          <w:rFonts w:eastAsia="Times New Roman" w:cstheme="minorHAnsi"/>
          <w:sz w:val="20"/>
          <w:szCs w:val="20"/>
          <w:lang w:eastAsia="pt-BR"/>
        </w:rPr>
        <w:t xml:space="preserve">O imóvel deve estar descrito no processo exatamente como consta na matrícula (descrição do terreno, área do terreno, existência de construção, área construída), caso esteja descrito de modo diverso na matrícula ou sem a construção mencionada no contrato, deverá ser apresentada a documentação referente à averbação da construção ou demolição para averbá-la previamente ao registro da partilha, caso contrário será solicitado </w:t>
      </w:r>
      <w:proofErr w:type="gramStart"/>
      <w:r w:rsidRPr="00A931B5">
        <w:rPr>
          <w:rFonts w:eastAsia="Times New Roman" w:cstheme="minorHAnsi"/>
          <w:sz w:val="20"/>
          <w:szCs w:val="20"/>
          <w:lang w:eastAsia="pt-BR"/>
        </w:rPr>
        <w:t>a</w:t>
      </w:r>
      <w:proofErr w:type="gramEnd"/>
      <w:r w:rsidRPr="00A931B5">
        <w:rPr>
          <w:rFonts w:eastAsia="Times New Roman" w:cstheme="minorHAnsi"/>
          <w:sz w:val="20"/>
          <w:szCs w:val="20"/>
          <w:lang w:eastAsia="pt-BR"/>
        </w:rPr>
        <w:t xml:space="preserve"> retificação da partilha.</w:t>
      </w:r>
    </w:p>
    <w:p w:rsidR="00E475F9" w:rsidRPr="00A931B5" w:rsidRDefault="00E475F9" w:rsidP="00E475F9">
      <w:pPr>
        <w:autoSpaceDE w:val="0"/>
        <w:autoSpaceDN w:val="0"/>
        <w:adjustRightInd w:val="0"/>
        <w:spacing w:after="0" w:line="240" w:lineRule="auto"/>
        <w:jc w:val="both"/>
        <w:rPr>
          <w:rFonts w:cstheme="minorHAnsi"/>
          <w:color w:val="00000A"/>
          <w:sz w:val="20"/>
          <w:szCs w:val="20"/>
        </w:rPr>
      </w:pPr>
      <w:r w:rsidRPr="00A931B5">
        <w:rPr>
          <w:rFonts w:cstheme="minorHAnsi"/>
          <w:b/>
          <w:i/>
          <w:color w:val="000000"/>
          <w:sz w:val="20"/>
          <w:szCs w:val="20"/>
        </w:rPr>
        <w:t>OBS2</w:t>
      </w:r>
      <w:r w:rsidRPr="00A931B5">
        <w:rPr>
          <w:rFonts w:cstheme="minorHAnsi"/>
          <w:b/>
          <w:color w:val="000000"/>
          <w:sz w:val="20"/>
          <w:szCs w:val="20"/>
        </w:rPr>
        <w:t xml:space="preserve">: </w:t>
      </w:r>
      <w:r w:rsidRPr="00A931B5">
        <w:rPr>
          <w:rFonts w:cstheme="minorHAnsi"/>
          <w:color w:val="00000A"/>
          <w:sz w:val="20"/>
          <w:szCs w:val="20"/>
        </w:rPr>
        <w:t xml:space="preserve">Em atendimento ao princípio da continuidade, no caso de escritura ou formal de partilha conjuntivo (dois ou mais </w:t>
      </w:r>
      <w:r w:rsidRPr="00A931B5">
        <w:rPr>
          <w:rFonts w:cstheme="minorHAnsi"/>
          <w:i/>
          <w:color w:val="00000A"/>
          <w:sz w:val="20"/>
          <w:szCs w:val="20"/>
        </w:rPr>
        <w:t xml:space="preserve">de </w:t>
      </w:r>
      <w:proofErr w:type="spellStart"/>
      <w:r w:rsidRPr="00A931B5">
        <w:rPr>
          <w:rFonts w:cstheme="minorHAnsi"/>
          <w:i/>
          <w:color w:val="00000A"/>
          <w:sz w:val="20"/>
          <w:szCs w:val="20"/>
        </w:rPr>
        <w:t>cujus</w:t>
      </w:r>
      <w:proofErr w:type="spellEnd"/>
      <w:r w:rsidRPr="00A931B5">
        <w:rPr>
          <w:rFonts w:cstheme="minorHAnsi"/>
          <w:i/>
          <w:color w:val="00000A"/>
          <w:sz w:val="20"/>
          <w:szCs w:val="20"/>
        </w:rPr>
        <w:t>)</w:t>
      </w:r>
      <w:r w:rsidRPr="00A931B5">
        <w:rPr>
          <w:rFonts w:cstheme="minorHAnsi"/>
          <w:color w:val="00000A"/>
          <w:sz w:val="20"/>
          <w:szCs w:val="20"/>
        </w:rPr>
        <w:t xml:space="preserve"> decorrente de inventário, as partilhas serão registradas na sequência de sucessão de óbitos. As partilhas deverão necessariamente discriminar os pagamentos referentes a cada óbito, de forma separada, conforme expressa disposição no art. 775 e </w:t>
      </w:r>
      <w:proofErr w:type="gramStart"/>
      <w:r w:rsidRPr="00A931B5">
        <w:rPr>
          <w:rFonts w:cstheme="minorHAnsi"/>
          <w:color w:val="00000A"/>
          <w:sz w:val="20"/>
          <w:szCs w:val="20"/>
        </w:rPr>
        <w:t>§ 1º, do Código de Normas)</w:t>
      </w:r>
      <w:proofErr w:type="gramEnd"/>
      <w:r w:rsidRPr="00A931B5">
        <w:rPr>
          <w:rFonts w:cstheme="minorHAnsi"/>
          <w:color w:val="00000A"/>
          <w:sz w:val="20"/>
          <w:szCs w:val="20"/>
        </w:rPr>
        <w:t>.</w:t>
      </w:r>
    </w:p>
    <w:p w:rsidR="004B1B64" w:rsidRDefault="004B1B64"/>
    <w:sectPr w:rsidR="004B1B64" w:rsidSect="004B1B6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rsids>
    <w:rsidRoot w:val="00E475F9"/>
    <w:rsid w:val="00250D7E"/>
    <w:rsid w:val="004B1B64"/>
    <w:rsid w:val="00E475F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5F9"/>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ibrusque.com.br/documentos/" TargetMode="External"/><Relationship Id="rId4" Type="http://schemas.openxmlformats.org/officeDocument/2006/relationships/hyperlink" Target="http://www.ribrusque.com.br/documento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945</Words>
  <Characters>5109</Characters>
  <Application>Microsoft Office Word</Application>
  <DocSecurity>0</DocSecurity>
  <Lines>42</Lines>
  <Paragraphs>12</Paragraphs>
  <ScaleCrop>false</ScaleCrop>
  <Company/>
  <LinksUpToDate>false</LinksUpToDate>
  <CharactersWithSpaces>6042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Keziah</dc:creator>
  <cp:lastModifiedBy>Keziah</cp:lastModifiedBy>
  <cp:revision>1</cp:revision>
  <dcterms:created xsi:type="dcterms:W3CDTF">2014-09-27T19:32:00Z</dcterms:created>
  <dcterms:modified xsi:type="dcterms:W3CDTF">2014-09-27T19:33:00Z</dcterms:modified>
</cp:coreProperties>
</file>